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Pr="00333351" w:rsidRDefault="00333351" w:rsidP="0033335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33351">
        <w:rPr>
          <w:rFonts w:ascii="Segoe UI" w:hAnsi="Segoe UI" w:cs="Segoe UI"/>
          <w:b/>
          <w:sz w:val="32"/>
          <w:szCs w:val="32"/>
        </w:rPr>
        <w:t>Электронные ДДУ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33351" w:rsidRPr="00333351" w:rsidRDefault="00333351" w:rsidP="00333351">
      <w:pPr>
        <w:ind w:firstLine="708"/>
        <w:jc w:val="both"/>
        <w:rPr>
          <w:rFonts w:ascii="Segoe UI" w:hAnsi="Segoe UI" w:cs="Segoe UI"/>
          <w:szCs w:val="24"/>
        </w:rPr>
      </w:pPr>
      <w:r w:rsidRPr="00333351">
        <w:rPr>
          <w:rFonts w:ascii="Segoe UI" w:hAnsi="Segoe UI" w:cs="Segoe UI"/>
          <w:szCs w:val="24"/>
        </w:rPr>
        <w:t>С января по апрель 2022 г. в Управление Росреестра по Республике Карелия поступило 35316 обращений на учетно-регистрационные действия, из них 51% (18263 обращения) – в электронном виде.</w:t>
      </w:r>
    </w:p>
    <w:p w:rsidR="00333351" w:rsidRPr="00333351" w:rsidRDefault="00333351" w:rsidP="00333351">
      <w:pPr>
        <w:ind w:firstLine="708"/>
        <w:jc w:val="both"/>
        <w:rPr>
          <w:rFonts w:ascii="Segoe UI" w:hAnsi="Segoe UI" w:cs="Segoe UI"/>
          <w:szCs w:val="24"/>
        </w:rPr>
      </w:pPr>
      <w:r w:rsidRPr="00333351">
        <w:rPr>
          <w:rFonts w:ascii="Segoe UI" w:hAnsi="Segoe UI" w:cs="Segoe UI"/>
          <w:szCs w:val="24"/>
        </w:rPr>
        <w:t xml:space="preserve">За отчетный период на регистрацию договоров долевого участия подано 609 обращений. В электронном </w:t>
      </w:r>
      <w:proofErr w:type="gramStart"/>
      <w:r w:rsidRPr="00333351">
        <w:rPr>
          <w:rFonts w:ascii="Segoe UI" w:hAnsi="Segoe UI" w:cs="Segoe UI"/>
          <w:szCs w:val="24"/>
        </w:rPr>
        <w:t>виде</w:t>
      </w:r>
      <w:proofErr w:type="gramEnd"/>
      <w:r w:rsidRPr="00333351">
        <w:rPr>
          <w:rFonts w:ascii="Segoe UI" w:hAnsi="Segoe UI" w:cs="Segoe UI"/>
          <w:szCs w:val="24"/>
        </w:rPr>
        <w:t xml:space="preserve"> – 68% (416 обращений).</w:t>
      </w:r>
    </w:p>
    <w:p w:rsidR="00333351" w:rsidRDefault="00333351" w:rsidP="00333351">
      <w:pPr>
        <w:rPr>
          <w:sz w:val="28"/>
          <w:szCs w:val="28"/>
        </w:rPr>
      </w:pPr>
      <w:r>
        <w:rPr>
          <w:rFonts w:ascii="Arial" w:hAnsi="Arial" w:cs="Arial"/>
          <w:sz w:val="16"/>
          <w:szCs w:val="16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443341" cy="3452474"/>
            <wp:effectExtent l="19050" t="0" r="4709" b="0"/>
            <wp:docPr id="15" name="Рисунок 15" descr="C:\Users\chobotova\Desktop\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obotova\Desktop\фина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10" cy="345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33351" w:rsidRDefault="00333351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33351" w:rsidRDefault="00333351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333351" w:rsidRDefault="00333351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F03A99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3351" w:rsidRDefault="003333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3351" w:rsidRDefault="003333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3351" w:rsidRDefault="003333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33351" w:rsidRDefault="00333351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F03A99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1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4C" w:rsidRDefault="0001754C" w:rsidP="00CB5FB6">
      <w:r>
        <w:separator/>
      </w:r>
    </w:p>
  </w:endnote>
  <w:endnote w:type="continuationSeparator" w:id="0">
    <w:p w:rsidR="0001754C" w:rsidRDefault="0001754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4C" w:rsidRDefault="0001754C" w:rsidP="00CB5FB6">
      <w:r>
        <w:separator/>
      </w:r>
    </w:p>
  </w:footnote>
  <w:footnote w:type="continuationSeparator" w:id="0">
    <w:p w:rsidR="0001754C" w:rsidRDefault="0001754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1754C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3335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03A99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.tepl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2022-06-03T11:00:00Z</cp:lastPrinted>
  <dcterms:created xsi:type="dcterms:W3CDTF">2022-01-19T06:00:00Z</dcterms:created>
  <dcterms:modified xsi:type="dcterms:W3CDTF">2022-06-03T11:01:00Z</dcterms:modified>
</cp:coreProperties>
</file>